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0568A" w14:textId="77777777" w:rsidR="00AF734B" w:rsidRPr="00EB7E9F" w:rsidRDefault="00AF734B" w:rsidP="00AF734B">
      <w:pPr>
        <w:pStyle w:val="BodyText"/>
        <w:pBdr>
          <w:top w:val="single" w:sz="4" w:space="1" w:color="auto"/>
        </w:pBdr>
        <w:jc w:val="left"/>
        <w:outlineLvl w:val="1"/>
        <w:rPr>
          <w:rFonts w:ascii="Tahoma" w:hAnsi="Tahoma" w:cs="Tahoma"/>
          <w:b w:val="0"/>
          <w:sz w:val="20"/>
        </w:rPr>
      </w:pPr>
      <w:bookmarkStart w:id="0" w:name="_GoBack"/>
      <w:bookmarkEnd w:id="0"/>
      <w:r>
        <w:rPr>
          <w:rFonts w:asciiTheme="minorHAnsi" w:hAnsiTheme="minorHAnsi" w:cs="Tahoma"/>
          <w:color w:val="1F497D" w:themeColor="text2"/>
        </w:rPr>
        <w:t>Role</w:t>
      </w:r>
    </w:p>
    <w:p w14:paraId="0381D066" w14:textId="77777777" w:rsidR="00592822" w:rsidRPr="00EF4BB6" w:rsidRDefault="00592822" w:rsidP="00592822">
      <w:pPr>
        <w:pStyle w:val="BodyText"/>
        <w:jc w:val="both"/>
        <w:rPr>
          <w:rFonts w:asciiTheme="minorHAnsi" w:hAnsiTheme="minorHAnsi" w:cs="Tahoma"/>
          <w:b w:val="0"/>
          <w:szCs w:val="24"/>
        </w:rPr>
      </w:pPr>
      <w:r w:rsidRPr="00EF4BB6">
        <w:rPr>
          <w:rFonts w:asciiTheme="minorHAnsi" w:hAnsiTheme="minorHAnsi" w:cs="Tahoma"/>
          <w:b w:val="0"/>
          <w:szCs w:val="24"/>
        </w:rPr>
        <w:t xml:space="preserve">The </w:t>
      </w:r>
      <w:r w:rsidR="0017726B" w:rsidRPr="00EF4BB6">
        <w:rPr>
          <w:rFonts w:asciiTheme="minorHAnsi" w:hAnsiTheme="minorHAnsi" w:cs="Tahoma"/>
          <w:b w:val="0"/>
          <w:szCs w:val="24"/>
        </w:rPr>
        <w:t>Prescribing Interface</w:t>
      </w:r>
      <w:r w:rsidRPr="00EF4BB6">
        <w:rPr>
          <w:rFonts w:asciiTheme="minorHAnsi" w:hAnsiTheme="minorHAnsi" w:cs="Tahoma"/>
          <w:b w:val="0"/>
          <w:szCs w:val="24"/>
        </w:rPr>
        <w:t xml:space="preserve"> Subcommittee of the Area Drug and Therapeutics Committee (ADTC) </w:t>
      </w:r>
      <w:r w:rsidR="0017726B" w:rsidRPr="00EF4BB6">
        <w:rPr>
          <w:rFonts w:asciiTheme="minorHAnsi" w:hAnsiTheme="minorHAnsi" w:cs="Tahoma"/>
          <w:b w:val="0"/>
          <w:szCs w:val="24"/>
        </w:rPr>
        <w:t>coordinates the formal management of prescribing issues between primary care and the acute setting including the review, approval and collation of Shared Care</w:t>
      </w:r>
      <w:r w:rsidR="00227C54" w:rsidRPr="00EF4BB6">
        <w:rPr>
          <w:rFonts w:asciiTheme="minorHAnsi" w:hAnsiTheme="minorHAnsi" w:cs="Tahoma"/>
          <w:b w:val="0"/>
          <w:szCs w:val="24"/>
        </w:rPr>
        <w:t xml:space="preserve"> Agreements</w:t>
      </w:r>
      <w:r w:rsidR="0017726B" w:rsidRPr="00EF4BB6">
        <w:rPr>
          <w:rFonts w:asciiTheme="minorHAnsi" w:hAnsiTheme="minorHAnsi" w:cs="Tahoma"/>
          <w:b w:val="0"/>
          <w:szCs w:val="24"/>
        </w:rPr>
        <w:t xml:space="preserve">.  </w:t>
      </w:r>
      <w:r w:rsidRPr="00EF4BB6">
        <w:rPr>
          <w:rFonts w:asciiTheme="minorHAnsi" w:hAnsiTheme="minorHAnsi" w:cs="Tahoma"/>
          <w:b w:val="0"/>
          <w:szCs w:val="24"/>
        </w:rPr>
        <w:t xml:space="preserve">The overall aim is to ensure </w:t>
      </w:r>
      <w:r w:rsidR="0017726B" w:rsidRPr="00EF4BB6">
        <w:rPr>
          <w:rFonts w:asciiTheme="minorHAnsi" w:hAnsiTheme="minorHAnsi" w:cs="Tahoma"/>
          <w:b w:val="0"/>
          <w:szCs w:val="24"/>
        </w:rPr>
        <w:t>there is clarity and consistency on the utilisation of medicines and associated responsibilities in</w:t>
      </w:r>
      <w:r w:rsidRPr="00EF4BB6">
        <w:rPr>
          <w:rFonts w:asciiTheme="minorHAnsi" w:hAnsiTheme="minorHAnsi" w:cs="Tahoma"/>
          <w:b w:val="0"/>
          <w:szCs w:val="24"/>
        </w:rPr>
        <w:t xml:space="preserve"> NHS Greater Glasgow and Clyde.</w:t>
      </w:r>
    </w:p>
    <w:p w14:paraId="672A6659" w14:textId="77777777" w:rsidR="00D2250E" w:rsidRPr="00EF4BB6" w:rsidRDefault="00D2250E" w:rsidP="00592822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Theme="minorHAnsi" w:hAnsiTheme="minorHAnsi" w:cs="Tahoma"/>
          <w:spacing w:val="-2"/>
        </w:rPr>
      </w:pPr>
    </w:p>
    <w:p w14:paraId="35590C44" w14:textId="77777777" w:rsidR="00493CF3" w:rsidRPr="00EF4BB6" w:rsidRDefault="00EF4BB6" w:rsidP="00EF4BB6">
      <w:pPr>
        <w:pStyle w:val="BodyText"/>
        <w:pBdr>
          <w:top w:val="single" w:sz="4" w:space="1" w:color="auto"/>
        </w:pBdr>
        <w:jc w:val="left"/>
        <w:outlineLvl w:val="1"/>
        <w:rPr>
          <w:rFonts w:asciiTheme="minorHAnsi" w:hAnsiTheme="minorHAnsi" w:cs="Tahoma"/>
          <w:color w:val="1F497D" w:themeColor="text2"/>
        </w:rPr>
      </w:pPr>
      <w:r>
        <w:rPr>
          <w:rFonts w:asciiTheme="minorHAnsi" w:hAnsiTheme="minorHAnsi" w:cs="Tahoma"/>
          <w:color w:val="1F497D" w:themeColor="text2"/>
        </w:rPr>
        <w:t>Terms of Reference</w:t>
      </w:r>
      <w:r w:rsidR="00D2250E" w:rsidRPr="00EF4BB6">
        <w:rPr>
          <w:rFonts w:asciiTheme="minorHAnsi" w:hAnsiTheme="minorHAnsi" w:cs="Tahoma"/>
          <w:color w:val="1F497D" w:themeColor="text2"/>
        </w:rPr>
        <w:tab/>
      </w:r>
    </w:p>
    <w:p w14:paraId="225B46EC" w14:textId="77777777" w:rsidR="00493CF3" w:rsidRPr="00EF4BB6" w:rsidRDefault="00493CF3" w:rsidP="00592822">
      <w:pPr>
        <w:jc w:val="both"/>
        <w:rPr>
          <w:rFonts w:asciiTheme="minorHAnsi" w:hAnsiTheme="minorHAnsi" w:cs="Tahoma"/>
        </w:rPr>
      </w:pPr>
      <w:r w:rsidRPr="00EF4BB6">
        <w:rPr>
          <w:rFonts w:asciiTheme="minorHAnsi" w:hAnsiTheme="minorHAnsi" w:cs="Tahoma"/>
        </w:rPr>
        <w:t xml:space="preserve">The </w:t>
      </w:r>
      <w:r w:rsidR="0017726B" w:rsidRPr="00EF4BB6">
        <w:rPr>
          <w:rFonts w:asciiTheme="minorHAnsi" w:hAnsiTheme="minorHAnsi" w:cs="Tahoma"/>
        </w:rPr>
        <w:t>Prescribing Interface</w:t>
      </w:r>
      <w:r w:rsidR="00257BEC" w:rsidRPr="00EF4BB6">
        <w:rPr>
          <w:rFonts w:asciiTheme="minorHAnsi" w:hAnsiTheme="minorHAnsi" w:cs="Tahoma"/>
        </w:rPr>
        <w:t xml:space="preserve"> Subcommittee</w:t>
      </w:r>
      <w:r w:rsidRPr="00EF4BB6">
        <w:rPr>
          <w:rFonts w:asciiTheme="minorHAnsi" w:hAnsiTheme="minorHAnsi" w:cs="Tahoma"/>
        </w:rPr>
        <w:t xml:space="preserve"> will:</w:t>
      </w:r>
    </w:p>
    <w:p w14:paraId="55483D7C" w14:textId="77777777" w:rsidR="0017726B" w:rsidRPr="00EF4BB6" w:rsidRDefault="0017726B" w:rsidP="5A9896D3">
      <w:pPr>
        <w:numPr>
          <w:ilvl w:val="0"/>
          <w:numId w:val="27"/>
        </w:numPr>
        <w:tabs>
          <w:tab w:val="num" w:pos="720"/>
        </w:tabs>
        <w:jc w:val="both"/>
        <w:rPr>
          <w:rFonts w:asciiTheme="minorHAnsi" w:hAnsiTheme="minorHAnsi" w:cs="Tahoma"/>
          <w:color w:val="000000" w:themeColor="text1"/>
        </w:rPr>
      </w:pPr>
      <w:r w:rsidRPr="5A9896D3">
        <w:rPr>
          <w:rFonts w:asciiTheme="minorHAnsi" w:hAnsiTheme="minorHAnsi" w:cs="Tahoma"/>
        </w:rPr>
        <w:t xml:space="preserve">Manage processes to ensure that </w:t>
      </w:r>
      <w:r w:rsidR="00350EC0" w:rsidRPr="5A9896D3">
        <w:rPr>
          <w:rFonts w:asciiTheme="minorHAnsi" w:hAnsiTheme="minorHAnsi" w:cs="Tahoma"/>
        </w:rPr>
        <w:t xml:space="preserve">any </w:t>
      </w:r>
      <w:r w:rsidRPr="5A9896D3">
        <w:rPr>
          <w:rFonts w:asciiTheme="minorHAnsi" w:hAnsiTheme="minorHAnsi" w:cs="Tahoma"/>
        </w:rPr>
        <w:t>interface agreements are standardised</w:t>
      </w:r>
    </w:p>
    <w:p w14:paraId="3955771C" w14:textId="77777777" w:rsidR="00592822" w:rsidRPr="00D25719" w:rsidRDefault="0017726B" w:rsidP="5A9896D3">
      <w:pPr>
        <w:numPr>
          <w:ilvl w:val="0"/>
          <w:numId w:val="27"/>
        </w:numPr>
        <w:tabs>
          <w:tab w:val="num" w:pos="720"/>
        </w:tabs>
        <w:jc w:val="both"/>
        <w:rPr>
          <w:rFonts w:asciiTheme="minorHAnsi" w:hAnsiTheme="minorHAnsi" w:cs="Tahoma"/>
          <w:color w:val="000000" w:themeColor="text1"/>
        </w:rPr>
      </w:pPr>
      <w:r w:rsidRPr="5A9896D3">
        <w:rPr>
          <w:rFonts w:asciiTheme="minorHAnsi" w:hAnsiTheme="minorHAnsi" w:cs="Tahoma"/>
        </w:rPr>
        <w:t xml:space="preserve">Review, approve and collate </w:t>
      </w:r>
      <w:r w:rsidR="00350EC0" w:rsidRPr="5A9896D3">
        <w:rPr>
          <w:rFonts w:asciiTheme="minorHAnsi" w:hAnsiTheme="minorHAnsi" w:cs="Tahoma"/>
        </w:rPr>
        <w:t xml:space="preserve">formal </w:t>
      </w:r>
      <w:r w:rsidRPr="5A9896D3">
        <w:rPr>
          <w:rFonts w:asciiTheme="minorHAnsi" w:hAnsiTheme="minorHAnsi" w:cs="Tahoma"/>
        </w:rPr>
        <w:t xml:space="preserve">Shared Care </w:t>
      </w:r>
      <w:r w:rsidR="00227C54" w:rsidRPr="5A9896D3">
        <w:rPr>
          <w:rFonts w:asciiTheme="minorHAnsi" w:hAnsiTheme="minorHAnsi" w:cs="Tahoma"/>
        </w:rPr>
        <w:t>Agreements</w:t>
      </w:r>
    </w:p>
    <w:p w14:paraId="38C27FC4" w14:textId="1F5BAEB5" w:rsidR="0026443E" w:rsidRPr="00EF4BB6" w:rsidRDefault="0026443E" w:rsidP="0026443E">
      <w:pPr>
        <w:numPr>
          <w:ilvl w:val="0"/>
          <w:numId w:val="27"/>
        </w:numPr>
        <w:tabs>
          <w:tab w:val="num" w:pos="720"/>
        </w:tabs>
        <w:jc w:val="both"/>
        <w:rPr>
          <w:rFonts w:asciiTheme="minorHAnsi" w:hAnsiTheme="minorHAnsi" w:cs="Tahoma"/>
          <w:color w:val="000000" w:themeColor="text1"/>
        </w:rPr>
      </w:pPr>
      <w:r>
        <w:rPr>
          <w:rFonts w:asciiTheme="minorHAnsi" w:hAnsiTheme="minorHAnsi" w:cs="Tahoma"/>
        </w:rPr>
        <w:t xml:space="preserve">Provide a forum for discussion on prescribing and medicines </w:t>
      </w:r>
      <w:r w:rsidRPr="0026443E">
        <w:rPr>
          <w:rFonts w:asciiTheme="minorHAnsi" w:hAnsiTheme="minorHAnsi" w:cs="Tahoma"/>
        </w:rPr>
        <w:t>management issues acr</w:t>
      </w:r>
      <w:r>
        <w:rPr>
          <w:rFonts w:asciiTheme="minorHAnsi" w:hAnsiTheme="minorHAnsi" w:cs="Tahoma"/>
        </w:rPr>
        <w:t>oss the primary/secondary care/community care</w:t>
      </w:r>
      <w:r w:rsidRPr="0026443E">
        <w:rPr>
          <w:rFonts w:asciiTheme="minorHAnsi" w:hAnsiTheme="minorHAnsi" w:cs="Tahoma"/>
        </w:rPr>
        <w:t xml:space="preserve"> interfaces</w:t>
      </w:r>
      <w:r>
        <w:rPr>
          <w:rFonts w:asciiTheme="minorHAnsi" w:hAnsiTheme="minorHAnsi" w:cs="Tahoma"/>
        </w:rPr>
        <w:t xml:space="preserve"> as appropriate</w:t>
      </w:r>
    </w:p>
    <w:p w14:paraId="0A37501D" w14:textId="77777777" w:rsidR="00257BEC" w:rsidRPr="00EF4BB6" w:rsidRDefault="00257BEC" w:rsidP="00592822">
      <w:pPr>
        <w:pStyle w:val="Heading3"/>
        <w:spacing w:before="0" w:after="0"/>
        <w:jc w:val="both"/>
        <w:rPr>
          <w:rFonts w:asciiTheme="minorHAnsi" w:hAnsiTheme="minorHAnsi" w:cs="Tahoma"/>
          <w:caps/>
          <w:color w:val="000080"/>
          <w:sz w:val="24"/>
          <w:szCs w:val="24"/>
        </w:rPr>
      </w:pPr>
    </w:p>
    <w:p w14:paraId="4589F4A7" w14:textId="37580A62" w:rsidR="00D2250E" w:rsidRDefault="00D2250E" w:rsidP="5A9896D3">
      <w:pPr>
        <w:pStyle w:val="BodyText"/>
        <w:jc w:val="left"/>
        <w:outlineLvl w:val="1"/>
        <w:rPr>
          <w:rFonts w:asciiTheme="minorHAnsi" w:hAnsiTheme="minorHAnsi" w:cs="Tahoma"/>
          <w:color w:val="1F497D" w:themeColor="text2"/>
        </w:rPr>
      </w:pPr>
      <w:r w:rsidRPr="5A9896D3">
        <w:rPr>
          <w:rFonts w:asciiTheme="minorHAnsi" w:hAnsiTheme="minorHAnsi" w:cs="Tahoma"/>
          <w:color w:val="1F497D" w:themeColor="text2"/>
        </w:rPr>
        <w:t>Executive and Membership</w:t>
      </w:r>
    </w:p>
    <w:p w14:paraId="158B8068" w14:textId="77777777" w:rsidR="002A503F" w:rsidRPr="00EF4BB6" w:rsidRDefault="002A503F" w:rsidP="002A503F">
      <w:pPr>
        <w:pStyle w:val="Default"/>
        <w:numPr>
          <w:ilvl w:val="0"/>
          <w:numId w:val="28"/>
        </w:numPr>
        <w:rPr>
          <w:rFonts w:asciiTheme="minorHAnsi" w:hAnsiTheme="minorHAnsi"/>
        </w:rPr>
      </w:pPr>
      <w:r w:rsidRPr="00EF4BB6">
        <w:rPr>
          <w:rFonts w:asciiTheme="minorHAnsi" w:hAnsiTheme="minorHAnsi"/>
        </w:rPr>
        <w:t xml:space="preserve">Medical Prescribing Advisor (Chair) </w:t>
      </w:r>
    </w:p>
    <w:p w14:paraId="005A7119" w14:textId="1128B8EE" w:rsidR="002A503F" w:rsidRPr="00EF4BB6" w:rsidRDefault="00AE1903" w:rsidP="002A503F">
      <w:pPr>
        <w:pStyle w:val="Default"/>
        <w:numPr>
          <w:ilvl w:val="0"/>
          <w:numId w:val="28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Primary </w:t>
      </w:r>
      <w:r w:rsidR="00FD75F4">
        <w:rPr>
          <w:rFonts w:asciiTheme="minorHAnsi" w:hAnsiTheme="minorHAnsi"/>
          <w:color w:val="auto"/>
        </w:rPr>
        <w:t>Care Prescribing Team r</w:t>
      </w:r>
      <w:r>
        <w:rPr>
          <w:rFonts w:asciiTheme="minorHAnsi" w:hAnsiTheme="minorHAnsi"/>
          <w:color w:val="auto"/>
        </w:rPr>
        <w:t>epresentation</w:t>
      </w:r>
    </w:p>
    <w:p w14:paraId="65AC0C7F" w14:textId="7C9190A3" w:rsidR="002A503F" w:rsidRPr="00EF4BB6" w:rsidRDefault="355FB017" w:rsidP="5A9896D3">
      <w:pPr>
        <w:pStyle w:val="Default"/>
        <w:numPr>
          <w:ilvl w:val="0"/>
          <w:numId w:val="28"/>
        </w:numPr>
        <w:rPr>
          <w:rFonts w:asciiTheme="minorHAnsi" w:hAnsiTheme="minorHAnsi"/>
        </w:rPr>
      </w:pPr>
      <w:r w:rsidRPr="5A9896D3">
        <w:rPr>
          <w:rFonts w:asciiTheme="minorHAnsi" w:hAnsiTheme="minorHAnsi"/>
        </w:rPr>
        <w:t>Medicines Policy and Guidance</w:t>
      </w:r>
      <w:r w:rsidR="00401A11">
        <w:rPr>
          <w:rFonts w:asciiTheme="minorHAnsi" w:hAnsiTheme="minorHAnsi"/>
        </w:rPr>
        <w:t xml:space="preserve"> Team </w:t>
      </w:r>
      <w:r w:rsidR="00FD75F4">
        <w:rPr>
          <w:rFonts w:asciiTheme="minorHAnsi" w:hAnsiTheme="minorHAnsi"/>
        </w:rPr>
        <w:t>r</w:t>
      </w:r>
      <w:r w:rsidR="00401A11">
        <w:rPr>
          <w:rFonts w:asciiTheme="minorHAnsi" w:hAnsiTheme="minorHAnsi"/>
        </w:rPr>
        <w:t>epresentation</w:t>
      </w:r>
    </w:p>
    <w:p w14:paraId="2984D2B1" w14:textId="77777777" w:rsidR="002A503F" w:rsidRPr="00EF4BB6" w:rsidRDefault="00227C54" w:rsidP="002A503F">
      <w:pPr>
        <w:pStyle w:val="Default"/>
        <w:numPr>
          <w:ilvl w:val="0"/>
          <w:numId w:val="28"/>
        </w:numPr>
        <w:rPr>
          <w:rFonts w:asciiTheme="minorHAnsi" w:hAnsiTheme="minorHAnsi"/>
        </w:rPr>
      </w:pPr>
      <w:r w:rsidRPr="00EF4BB6">
        <w:rPr>
          <w:rFonts w:asciiTheme="minorHAnsi" w:hAnsiTheme="minorHAnsi"/>
          <w:color w:val="auto"/>
        </w:rPr>
        <w:t>HSCP</w:t>
      </w:r>
      <w:r w:rsidR="002A503F" w:rsidRPr="00EF4BB6">
        <w:rPr>
          <w:rFonts w:asciiTheme="minorHAnsi" w:hAnsiTheme="minorHAnsi"/>
          <w:color w:val="auto"/>
        </w:rPr>
        <w:t xml:space="preserve"> C</w:t>
      </w:r>
      <w:r w:rsidR="002A503F" w:rsidRPr="00EF4BB6">
        <w:rPr>
          <w:rFonts w:asciiTheme="minorHAnsi" w:hAnsiTheme="minorHAnsi"/>
        </w:rPr>
        <w:t xml:space="preserve">linical Director </w:t>
      </w:r>
    </w:p>
    <w:p w14:paraId="2086D3DD" w14:textId="77777777" w:rsidR="002A503F" w:rsidRPr="00EF4BB6" w:rsidRDefault="00227C54" w:rsidP="002A503F">
      <w:pPr>
        <w:pStyle w:val="Default"/>
        <w:numPr>
          <w:ilvl w:val="0"/>
          <w:numId w:val="28"/>
        </w:numPr>
        <w:rPr>
          <w:rFonts w:asciiTheme="minorHAnsi" w:hAnsiTheme="minorHAnsi"/>
        </w:rPr>
      </w:pPr>
      <w:r w:rsidRPr="00EF4BB6">
        <w:rPr>
          <w:rFonts w:asciiTheme="minorHAnsi" w:hAnsiTheme="minorHAnsi"/>
          <w:color w:val="auto"/>
        </w:rPr>
        <w:t>HSCP</w:t>
      </w:r>
      <w:r w:rsidR="002A503F" w:rsidRPr="00EF4BB6">
        <w:rPr>
          <w:rFonts w:asciiTheme="minorHAnsi" w:hAnsiTheme="minorHAnsi"/>
          <w:color w:val="auto"/>
        </w:rPr>
        <w:t xml:space="preserve"> L</w:t>
      </w:r>
      <w:r w:rsidR="002A503F" w:rsidRPr="00EF4BB6">
        <w:rPr>
          <w:rFonts w:asciiTheme="minorHAnsi" w:hAnsiTheme="minorHAnsi"/>
        </w:rPr>
        <w:t xml:space="preserve">ead for Clinical Pharmacy and Prescribing </w:t>
      </w:r>
    </w:p>
    <w:p w14:paraId="3EE4FED4" w14:textId="77777777" w:rsidR="002A503F" w:rsidRPr="00EF4BB6" w:rsidRDefault="002A503F" w:rsidP="002A503F">
      <w:pPr>
        <w:pStyle w:val="Default"/>
        <w:numPr>
          <w:ilvl w:val="0"/>
          <w:numId w:val="28"/>
        </w:numPr>
        <w:rPr>
          <w:rFonts w:asciiTheme="minorHAnsi" w:hAnsiTheme="minorHAnsi"/>
        </w:rPr>
      </w:pPr>
      <w:r w:rsidRPr="00EF4BB6">
        <w:rPr>
          <w:rFonts w:asciiTheme="minorHAnsi" w:hAnsiTheme="minorHAnsi"/>
        </w:rPr>
        <w:t xml:space="preserve">Lead Clinical Pharmacists from Acute Service/Specialist Service (specialty dependent) </w:t>
      </w:r>
    </w:p>
    <w:p w14:paraId="6D2D28D1" w14:textId="5975E7A2" w:rsidR="002A503F" w:rsidRPr="00EF4BB6" w:rsidRDefault="002A503F" w:rsidP="5A9896D3">
      <w:pPr>
        <w:pStyle w:val="Default"/>
        <w:numPr>
          <w:ilvl w:val="0"/>
          <w:numId w:val="28"/>
        </w:numPr>
        <w:rPr>
          <w:rFonts w:asciiTheme="minorHAnsi" w:hAnsiTheme="minorHAnsi"/>
        </w:rPr>
      </w:pPr>
      <w:r w:rsidRPr="5A9896D3">
        <w:rPr>
          <w:rFonts w:asciiTheme="minorHAnsi" w:hAnsiTheme="minorHAnsi"/>
        </w:rPr>
        <w:t>LMC Representative</w:t>
      </w:r>
      <w:r w:rsidR="47ACA5C4" w:rsidRPr="5A9896D3">
        <w:rPr>
          <w:rFonts w:asciiTheme="minorHAnsi" w:hAnsiTheme="minorHAnsi"/>
        </w:rPr>
        <w:t>(s)</w:t>
      </w:r>
      <w:r w:rsidRPr="5A9896D3">
        <w:rPr>
          <w:rFonts w:asciiTheme="minorHAnsi" w:hAnsiTheme="minorHAnsi"/>
        </w:rPr>
        <w:t xml:space="preserve"> </w:t>
      </w:r>
    </w:p>
    <w:p w14:paraId="79B81645" w14:textId="77777777" w:rsidR="002A503F" w:rsidRPr="00EF4BB6" w:rsidRDefault="002A503F" w:rsidP="002A503F">
      <w:pPr>
        <w:pStyle w:val="Default"/>
        <w:numPr>
          <w:ilvl w:val="0"/>
          <w:numId w:val="28"/>
        </w:numPr>
        <w:rPr>
          <w:rFonts w:asciiTheme="minorHAnsi" w:hAnsiTheme="minorHAnsi"/>
        </w:rPr>
      </w:pPr>
      <w:r w:rsidRPr="00EF4BB6">
        <w:rPr>
          <w:rFonts w:asciiTheme="minorHAnsi" w:hAnsiTheme="minorHAnsi"/>
        </w:rPr>
        <w:t xml:space="preserve">General Practitioner(s) </w:t>
      </w:r>
    </w:p>
    <w:p w14:paraId="4539E4A2" w14:textId="5EDB68A1" w:rsidR="00361F69" w:rsidRPr="00EF4BB6" w:rsidRDefault="00361F69" w:rsidP="00361F69">
      <w:pPr>
        <w:pStyle w:val="Default"/>
        <w:numPr>
          <w:ilvl w:val="0"/>
          <w:numId w:val="28"/>
        </w:numPr>
        <w:rPr>
          <w:rFonts w:asciiTheme="minorHAnsi" w:hAnsiTheme="minorHAnsi"/>
        </w:rPr>
      </w:pPr>
      <w:r w:rsidRPr="00EF4BB6">
        <w:rPr>
          <w:rFonts w:asciiTheme="minorHAnsi" w:hAnsiTheme="minorHAnsi"/>
        </w:rPr>
        <w:t xml:space="preserve">Practice Development Nurse </w:t>
      </w:r>
      <w:r w:rsidR="00401A11">
        <w:rPr>
          <w:rFonts w:asciiTheme="minorHAnsi" w:hAnsiTheme="minorHAnsi"/>
        </w:rPr>
        <w:t>as appropriate</w:t>
      </w:r>
    </w:p>
    <w:p w14:paraId="0BC1B009" w14:textId="77777777" w:rsidR="002A503F" w:rsidRPr="00EF4BB6" w:rsidRDefault="002A503F" w:rsidP="002A503F">
      <w:pPr>
        <w:pStyle w:val="Default"/>
        <w:numPr>
          <w:ilvl w:val="0"/>
          <w:numId w:val="28"/>
        </w:numPr>
        <w:rPr>
          <w:rFonts w:asciiTheme="minorHAnsi" w:hAnsiTheme="minorHAnsi"/>
        </w:rPr>
      </w:pPr>
      <w:r w:rsidRPr="00EF4BB6">
        <w:rPr>
          <w:rFonts w:asciiTheme="minorHAnsi" w:hAnsiTheme="minorHAnsi"/>
        </w:rPr>
        <w:t xml:space="preserve">Acute Clinicians in attendance as appropriate (speciality dependent) </w:t>
      </w:r>
    </w:p>
    <w:p w14:paraId="5DAB6C7B" w14:textId="77777777" w:rsidR="00277076" w:rsidRPr="00EF4BB6" w:rsidRDefault="00277076" w:rsidP="00592822">
      <w:pPr>
        <w:tabs>
          <w:tab w:val="left" w:pos="-720"/>
        </w:tabs>
        <w:suppressAutoHyphens/>
        <w:jc w:val="both"/>
        <w:rPr>
          <w:rFonts w:asciiTheme="minorHAnsi" w:hAnsiTheme="minorHAnsi" w:cs="Tahoma"/>
        </w:rPr>
      </w:pPr>
    </w:p>
    <w:p w14:paraId="36ECCC2F" w14:textId="77777777" w:rsidR="00D2250E" w:rsidRPr="00EF4BB6" w:rsidRDefault="00D2250E" w:rsidP="00EF4BB6">
      <w:pPr>
        <w:pStyle w:val="BodyText"/>
        <w:pBdr>
          <w:top w:val="single" w:sz="4" w:space="1" w:color="auto"/>
        </w:pBdr>
        <w:jc w:val="left"/>
        <w:outlineLvl w:val="1"/>
        <w:rPr>
          <w:rFonts w:asciiTheme="minorHAnsi" w:hAnsiTheme="minorHAnsi" w:cs="Tahoma"/>
          <w:color w:val="1F497D" w:themeColor="text2"/>
        </w:rPr>
      </w:pPr>
      <w:r w:rsidRPr="00EF4BB6">
        <w:rPr>
          <w:rFonts w:asciiTheme="minorHAnsi" w:hAnsiTheme="minorHAnsi" w:cs="Tahoma"/>
          <w:color w:val="1F497D" w:themeColor="text2"/>
        </w:rPr>
        <w:t xml:space="preserve"> </w:t>
      </w:r>
      <w:r w:rsidR="00EF4BB6">
        <w:rPr>
          <w:rFonts w:asciiTheme="minorHAnsi" w:hAnsiTheme="minorHAnsi" w:cs="Tahoma"/>
          <w:color w:val="1F497D" w:themeColor="text2"/>
        </w:rPr>
        <w:t>Frequency of Meeting</w:t>
      </w:r>
    </w:p>
    <w:p w14:paraId="2F7AF8B3" w14:textId="77777777" w:rsidR="008C6E74" w:rsidRPr="00EF4BB6" w:rsidRDefault="00227C54" w:rsidP="00592822">
      <w:pPr>
        <w:jc w:val="both"/>
        <w:rPr>
          <w:rFonts w:asciiTheme="minorHAnsi" w:hAnsiTheme="minorHAnsi" w:cs="Tahoma"/>
        </w:rPr>
      </w:pPr>
      <w:r w:rsidRPr="00EF4BB6">
        <w:rPr>
          <w:rFonts w:asciiTheme="minorHAnsi" w:hAnsiTheme="minorHAnsi" w:cs="Tahoma"/>
        </w:rPr>
        <w:t>Quarterly</w:t>
      </w:r>
    </w:p>
    <w:p w14:paraId="02EB378F" w14:textId="77777777" w:rsidR="00592822" w:rsidRPr="00EF4BB6" w:rsidRDefault="00592822" w:rsidP="00592822">
      <w:pPr>
        <w:tabs>
          <w:tab w:val="left" w:pos="-720"/>
        </w:tabs>
        <w:suppressAutoHyphens/>
        <w:jc w:val="both"/>
        <w:rPr>
          <w:rFonts w:asciiTheme="minorHAnsi" w:hAnsiTheme="minorHAnsi" w:cs="Tahoma"/>
          <w:b/>
          <w:caps/>
          <w:color w:val="000080"/>
        </w:rPr>
      </w:pPr>
    </w:p>
    <w:p w14:paraId="3711BE67" w14:textId="77777777" w:rsidR="008C6E74" w:rsidRPr="00EF4BB6" w:rsidRDefault="00EF4BB6" w:rsidP="00EF4BB6">
      <w:pPr>
        <w:pStyle w:val="BodyText"/>
        <w:pBdr>
          <w:top w:val="single" w:sz="4" w:space="1" w:color="auto"/>
        </w:pBdr>
        <w:jc w:val="left"/>
        <w:outlineLvl w:val="1"/>
        <w:rPr>
          <w:rFonts w:asciiTheme="minorHAnsi" w:hAnsiTheme="minorHAnsi" w:cs="Tahoma"/>
          <w:color w:val="1F497D" w:themeColor="text2"/>
        </w:rPr>
      </w:pPr>
      <w:r>
        <w:rPr>
          <w:rFonts w:asciiTheme="minorHAnsi" w:hAnsiTheme="minorHAnsi" w:cs="Tahoma"/>
          <w:color w:val="1F497D" w:themeColor="text2"/>
        </w:rPr>
        <w:t>Accountability</w:t>
      </w:r>
    </w:p>
    <w:p w14:paraId="4EF887AE" w14:textId="77777777" w:rsidR="008C6E74" w:rsidRPr="00EF4BB6" w:rsidRDefault="00257BEC" w:rsidP="00592822">
      <w:pPr>
        <w:jc w:val="both"/>
        <w:rPr>
          <w:rFonts w:asciiTheme="minorHAnsi" w:hAnsiTheme="minorHAnsi" w:cs="Tahoma"/>
        </w:rPr>
      </w:pPr>
      <w:r w:rsidRPr="00EF4BB6">
        <w:rPr>
          <w:rFonts w:asciiTheme="minorHAnsi" w:hAnsiTheme="minorHAnsi" w:cs="Tahoma"/>
        </w:rPr>
        <w:t>Area Drug and Therapeutics Committee</w:t>
      </w:r>
    </w:p>
    <w:p w14:paraId="6A05A809" w14:textId="77777777" w:rsidR="008C6E74" w:rsidRPr="00EF4BB6" w:rsidRDefault="008C6E74" w:rsidP="00592822">
      <w:pPr>
        <w:tabs>
          <w:tab w:val="left" w:pos="-720"/>
        </w:tabs>
        <w:suppressAutoHyphens/>
        <w:jc w:val="both"/>
        <w:rPr>
          <w:rFonts w:asciiTheme="minorHAnsi" w:hAnsiTheme="minorHAnsi" w:cs="Tahoma"/>
          <w:b/>
          <w:caps/>
          <w:color w:val="000080"/>
        </w:rPr>
      </w:pPr>
    </w:p>
    <w:p w14:paraId="2DF01F99" w14:textId="77777777" w:rsidR="008C6E74" w:rsidRPr="00EF4BB6" w:rsidRDefault="00EF4BB6" w:rsidP="00EF4BB6">
      <w:pPr>
        <w:pStyle w:val="BodyText"/>
        <w:pBdr>
          <w:top w:val="single" w:sz="4" w:space="1" w:color="auto"/>
        </w:pBdr>
        <w:jc w:val="left"/>
        <w:outlineLvl w:val="1"/>
        <w:rPr>
          <w:rFonts w:asciiTheme="minorHAnsi" w:hAnsiTheme="minorHAnsi" w:cs="Tahoma"/>
          <w:color w:val="1F497D" w:themeColor="text2"/>
        </w:rPr>
      </w:pPr>
      <w:r>
        <w:rPr>
          <w:rFonts w:asciiTheme="minorHAnsi" w:hAnsiTheme="minorHAnsi" w:cs="Tahoma"/>
          <w:color w:val="1F497D" w:themeColor="text2"/>
        </w:rPr>
        <w:t>Distribution of Minutes</w:t>
      </w:r>
    </w:p>
    <w:p w14:paraId="523DBC4D" w14:textId="77777777" w:rsidR="00592822" w:rsidRPr="00EF4BB6" w:rsidRDefault="00592822" w:rsidP="5A9896D3">
      <w:pPr>
        <w:numPr>
          <w:ilvl w:val="0"/>
          <w:numId w:val="30"/>
        </w:numPr>
        <w:jc w:val="both"/>
        <w:rPr>
          <w:rFonts w:asciiTheme="minorHAnsi" w:hAnsiTheme="minorHAnsi" w:cs="Tahoma"/>
        </w:rPr>
      </w:pPr>
      <w:r w:rsidRPr="291CB6A9">
        <w:rPr>
          <w:rFonts w:asciiTheme="minorHAnsi" w:hAnsiTheme="minorHAnsi" w:cs="Tahoma"/>
        </w:rPr>
        <w:t>Chair of Area Drug and Therapeutic Committee</w:t>
      </w:r>
    </w:p>
    <w:p w14:paraId="21D8898C" w14:textId="77777777" w:rsidR="00E870B8" w:rsidRPr="00EF4BB6" w:rsidRDefault="00227C54" w:rsidP="00592822">
      <w:pPr>
        <w:numPr>
          <w:ilvl w:val="0"/>
          <w:numId w:val="30"/>
        </w:numPr>
        <w:jc w:val="both"/>
        <w:rPr>
          <w:rFonts w:asciiTheme="minorHAnsi" w:hAnsiTheme="minorHAnsi"/>
        </w:rPr>
      </w:pPr>
      <w:r w:rsidRPr="00EF4BB6">
        <w:rPr>
          <w:rFonts w:asciiTheme="minorHAnsi" w:hAnsiTheme="minorHAnsi" w:cs="Tahoma"/>
        </w:rPr>
        <w:t>Chair of Prescribing Management Group: Primary Care</w:t>
      </w:r>
    </w:p>
    <w:p w14:paraId="330E6239" w14:textId="77777777" w:rsidR="00B45084" w:rsidRPr="00EF4BB6" w:rsidRDefault="00B45084" w:rsidP="00B45084">
      <w:pPr>
        <w:numPr>
          <w:ilvl w:val="0"/>
          <w:numId w:val="30"/>
        </w:numPr>
        <w:jc w:val="both"/>
        <w:rPr>
          <w:rFonts w:asciiTheme="minorHAnsi" w:hAnsiTheme="minorHAnsi"/>
        </w:rPr>
      </w:pPr>
      <w:r w:rsidRPr="00EF4BB6">
        <w:rPr>
          <w:rFonts w:asciiTheme="minorHAnsi" w:hAnsiTheme="minorHAnsi" w:cs="Tahoma"/>
        </w:rPr>
        <w:t xml:space="preserve">Chair of Prescribing Management Group: Acute Services </w:t>
      </w:r>
    </w:p>
    <w:p w14:paraId="5A39BBE3" w14:textId="22EA32AC" w:rsidR="00592822" w:rsidRPr="00EF4BB6" w:rsidRDefault="00B17D05" w:rsidP="291CB6A9">
      <w:pPr>
        <w:pStyle w:val="Default"/>
        <w:numPr>
          <w:ilvl w:val="0"/>
          <w:numId w:val="30"/>
        </w:numPr>
        <w:jc w:val="both"/>
        <w:rPr>
          <w:rFonts w:asciiTheme="minorHAnsi" w:hAnsiTheme="minorHAnsi"/>
          <w:color w:val="auto"/>
        </w:rPr>
      </w:pPr>
      <w:r w:rsidRPr="291CB6A9">
        <w:rPr>
          <w:rFonts w:asciiTheme="minorHAnsi" w:hAnsiTheme="minorHAnsi"/>
          <w:color w:val="auto"/>
        </w:rPr>
        <w:t>Lead Clinical Pharmacist</w:t>
      </w:r>
      <w:r w:rsidR="00C7598E" w:rsidRPr="291CB6A9">
        <w:rPr>
          <w:rFonts w:asciiTheme="minorHAnsi" w:hAnsiTheme="minorHAnsi"/>
          <w:color w:val="auto"/>
        </w:rPr>
        <w:t>s</w:t>
      </w:r>
      <w:r w:rsidRPr="291CB6A9">
        <w:rPr>
          <w:rFonts w:asciiTheme="minorHAnsi" w:hAnsiTheme="minorHAnsi"/>
          <w:color w:val="auto"/>
        </w:rPr>
        <w:t xml:space="preserve"> (Acute/Specialist Service) </w:t>
      </w:r>
    </w:p>
    <w:sectPr w:rsidR="00592822" w:rsidRPr="00EF4BB6" w:rsidSect="001779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51" w:bottom="1440" w:left="851" w:header="709" w:footer="70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74BBD" w14:textId="77777777" w:rsidR="00727F9C" w:rsidRDefault="00727F9C">
      <w:r>
        <w:separator/>
      </w:r>
    </w:p>
  </w:endnote>
  <w:endnote w:type="continuationSeparator" w:id="0">
    <w:p w14:paraId="0DEB92B0" w14:textId="77777777" w:rsidR="00727F9C" w:rsidRDefault="0072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FD0DE6" w:rsidRDefault="00FD0DE6" w:rsidP="00DF25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128261" w14:textId="77777777" w:rsidR="00FD0DE6" w:rsidRDefault="00FD0DE6" w:rsidP="004727C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6D17B" w14:textId="77777777" w:rsidR="00627C59" w:rsidRDefault="00627C59" w:rsidP="00627C59">
    <w:pPr>
      <w:pStyle w:val="Footer"/>
      <w:rPr>
        <w:sz w:val="2"/>
        <w:szCs w:val="2"/>
      </w:rPr>
    </w:pPr>
    <w:r>
      <w:rPr>
        <w:sz w:val="2"/>
        <w:szCs w:val="2"/>
      </w:rPr>
      <w:t>A</w:t>
    </w:r>
  </w:p>
  <w:p w14:paraId="3656B9AB" w14:textId="77777777" w:rsidR="00627C59" w:rsidRDefault="00627C59" w:rsidP="00627C59"/>
  <w:p w14:paraId="45FB0818" w14:textId="77777777" w:rsidR="00627C59" w:rsidRPr="00F61A1F" w:rsidDel="008F65A6" w:rsidRDefault="00627C59" w:rsidP="00627C59">
    <w:pPr>
      <w:pStyle w:val="Footer"/>
      <w:framePr w:wrap="around" w:vAnchor="text" w:hAnchor="page" w:x="10032" w:y="92"/>
      <w:rPr>
        <w:rStyle w:val="PageNumber"/>
        <w:rFonts w:ascii="Tahoma" w:hAnsi="Tahoma" w:cs="Tahoma"/>
        <w:b/>
        <w:bCs/>
        <w:noProof/>
        <w:color w:val="333399"/>
        <w:sz w:val="16"/>
        <w:szCs w:val="16"/>
      </w:rPr>
    </w:pPr>
  </w:p>
  <w:tbl>
    <w:tblPr>
      <w:tblW w:w="5000" w:type="pct"/>
      <w:jc w:val="center"/>
      <w:tblBorders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  <w:insideH w:val="single" w:sz="8" w:space="0" w:color="808080"/>
        <w:insideV w:val="single" w:sz="8" w:space="0" w:color="808080"/>
      </w:tblBorders>
      <w:tblCellMar>
        <w:top w:w="57" w:type="dxa"/>
        <w:left w:w="0" w:type="dxa"/>
        <w:bottom w:w="57" w:type="dxa"/>
        <w:right w:w="0" w:type="dxa"/>
      </w:tblCellMar>
      <w:tblLook w:val="01E0" w:firstRow="1" w:lastRow="1" w:firstColumn="1" w:lastColumn="1" w:noHBand="0" w:noVBand="0"/>
    </w:tblPr>
    <w:tblGrid>
      <w:gridCol w:w="7739"/>
      <w:gridCol w:w="2465"/>
    </w:tblGrid>
    <w:tr w:rsidR="00627C59" w:rsidRPr="00DB62C1" w14:paraId="76994146" w14:textId="77777777" w:rsidTr="00E74F7F">
      <w:trPr>
        <w:jc w:val="center"/>
      </w:trPr>
      <w:tc>
        <w:tcPr>
          <w:tcW w:w="3792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67CE8AE3" w14:textId="1039DDD0" w:rsidR="00627C59" w:rsidRPr="00DB62C1" w:rsidRDefault="00627C59" w:rsidP="008A779E">
          <w:pPr>
            <w:pStyle w:val="Footer"/>
            <w:rPr>
              <w:rFonts w:asciiTheme="minorHAnsi" w:hAnsiTheme="minorHAnsi" w:cstheme="minorBidi"/>
              <w:sz w:val="16"/>
              <w:szCs w:val="16"/>
            </w:rPr>
          </w:pPr>
          <w:r w:rsidRPr="5D45E80D">
            <w:rPr>
              <w:rFonts w:asciiTheme="minorHAnsi" w:hAnsiTheme="minorHAnsi" w:cstheme="minorBidi"/>
              <w:sz w:val="16"/>
              <w:szCs w:val="16"/>
            </w:rPr>
            <w:t xml:space="preserve">File name: </w:t>
          </w:r>
          <w:r w:rsidR="008A779E">
            <w:rPr>
              <w:rFonts w:asciiTheme="minorHAnsi" w:hAnsiTheme="minorHAnsi" w:cstheme="minorBidi"/>
              <w:sz w:val="16"/>
              <w:szCs w:val="16"/>
            </w:rPr>
            <w:t xml:space="preserve">2.3 Prescribing Interface Subcommittee </w:t>
          </w:r>
          <w:proofErr w:type="spellStart"/>
          <w:r w:rsidR="008A779E">
            <w:rPr>
              <w:rFonts w:asciiTheme="minorHAnsi" w:hAnsiTheme="minorHAnsi" w:cstheme="minorBidi"/>
              <w:sz w:val="16"/>
              <w:szCs w:val="16"/>
            </w:rPr>
            <w:t>ToR</w:t>
          </w:r>
          <w:proofErr w:type="spellEnd"/>
          <w:r w:rsidR="008A779E">
            <w:rPr>
              <w:rFonts w:asciiTheme="minorHAnsi" w:hAnsiTheme="minorHAnsi" w:cstheme="minorBidi"/>
              <w:sz w:val="16"/>
              <w:szCs w:val="16"/>
            </w:rPr>
            <w:t xml:space="preserve"> - 2024</w:t>
          </w:r>
        </w:p>
      </w:tc>
      <w:tc>
        <w:tcPr>
          <w:tcW w:w="1208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2E0D2F8B" w14:textId="57EEBF70" w:rsidR="00627C59" w:rsidRPr="00DB62C1" w:rsidRDefault="00627C59" w:rsidP="00E74F7F">
          <w:pPr>
            <w:pStyle w:val="Footer"/>
            <w:rPr>
              <w:rFonts w:asciiTheme="minorHAnsi" w:hAnsiTheme="minorHAnsi" w:cstheme="minorBidi"/>
              <w:sz w:val="16"/>
              <w:szCs w:val="16"/>
            </w:rPr>
          </w:pPr>
          <w:r w:rsidRPr="5D45E80D">
            <w:rPr>
              <w:rFonts w:asciiTheme="minorHAnsi" w:hAnsiTheme="minorHAnsi" w:cstheme="minorBidi"/>
              <w:sz w:val="16"/>
              <w:szCs w:val="16"/>
            </w:rPr>
            <w:t xml:space="preserve">Date of last revision: </w:t>
          </w:r>
          <w:r w:rsidR="00AE1903">
            <w:rPr>
              <w:rFonts w:asciiTheme="minorHAnsi" w:hAnsiTheme="minorHAnsi" w:cstheme="minorBidi"/>
              <w:noProof/>
              <w:sz w:val="16"/>
              <w:szCs w:val="16"/>
            </w:rPr>
            <w:fldChar w:fldCharType="begin"/>
          </w:r>
          <w:r w:rsidR="00AE1903">
            <w:rPr>
              <w:rFonts w:asciiTheme="minorHAnsi" w:hAnsiTheme="minorHAnsi" w:cstheme="minorBidi"/>
              <w:noProof/>
              <w:sz w:val="16"/>
              <w:szCs w:val="16"/>
            </w:rPr>
            <w:instrText>DATE   \* MERGEFORMAT</w:instrText>
          </w:r>
          <w:r w:rsidR="00AE1903">
            <w:rPr>
              <w:rFonts w:asciiTheme="minorHAnsi" w:hAnsiTheme="minorHAnsi" w:cstheme="minorBidi"/>
              <w:noProof/>
              <w:sz w:val="16"/>
              <w:szCs w:val="16"/>
            </w:rPr>
            <w:fldChar w:fldCharType="separate"/>
          </w:r>
          <w:r w:rsidR="009F5035">
            <w:rPr>
              <w:rFonts w:asciiTheme="minorHAnsi" w:hAnsiTheme="minorHAnsi" w:cstheme="minorBidi"/>
              <w:noProof/>
              <w:sz w:val="16"/>
              <w:szCs w:val="16"/>
            </w:rPr>
            <w:t>25/03/2024</w:t>
          </w:r>
          <w:r w:rsidR="00AE1903">
            <w:rPr>
              <w:rFonts w:asciiTheme="minorHAnsi" w:hAnsiTheme="minorHAnsi" w:cstheme="minorBidi"/>
              <w:noProof/>
              <w:sz w:val="16"/>
              <w:szCs w:val="16"/>
            </w:rPr>
            <w:fldChar w:fldCharType="end"/>
          </w:r>
        </w:p>
      </w:tc>
    </w:tr>
    <w:tr w:rsidR="00627C59" w:rsidRPr="00DB62C1" w14:paraId="4649776A" w14:textId="77777777" w:rsidTr="00E74F7F">
      <w:trPr>
        <w:jc w:val="center"/>
      </w:trPr>
      <w:tc>
        <w:tcPr>
          <w:tcW w:w="3792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68D9184A" w14:textId="7D3318DB" w:rsidR="00627C59" w:rsidRPr="00DB62C1" w:rsidRDefault="00627C59" w:rsidP="00627C59">
          <w:pPr>
            <w:pStyle w:val="Footer"/>
            <w:rPr>
              <w:rFonts w:asciiTheme="minorHAnsi" w:hAnsiTheme="minorHAnsi" w:cstheme="minorBidi"/>
              <w:sz w:val="16"/>
              <w:szCs w:val="16"/>
            </w:rPr>
          </w:pPr>
          <w:r w:rsidRPr="5D45E80D">
            <w:rPr>
              <w:rFonts w:asciiTheme="minorHAnsi" w:hAnsiTheme="minorHAnsi" w:cstheme="minorBidi"/>
              <w:sz w:val="16"/>
              <w:szCs w:val="16"/>
            </w:rPr>
            <w:t xml:space="preserve">Written  by: </w:t>
          </w:r>
          <w:r>
            <w:rPr>
              <w:rFonts w:asciiTheme="minorHAnsi" w:hAnsiTheme="minorHAnsi" w:cstheme="minorBidi"/>
              <w:sz w:val="16"/>
              <w:szCs w:val="16"/>
            </w:rPr>
            <w:t>R. Hardman, K. Graham</w:t>
          </w:r>
        </w:p>
      </w:tc>
      <w:tc>
        <w:tcPr>
          <w:tcW w:w="1208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1332A36E" w14:textId="76A9B971" w:rsidR="00627C59" w:rsidRPr="00DB62C1" w:rsidRDefault="00627C59" w:rsidP="00627C59">
          <w:pPr>
            <w:pStyle w:val="Footer"/>
            <w:rPr>
              <w:rFonts w:asciiTheme="minorHAnsi" w:hAnsiTheme="minorHAnsi" w:cstheme="minorBidi"/>
              <w:sz w:val="16"/>
              <w:szCs w:val="16"/>
            </w:rPr>
          </w:pPr>
          <w:r w:rsidRPr="5D45E80D">
            <w:rPr>
              <w:rFonts w:asciiTheme="minorHAnsi" w:hAnsiTheme="minorHAnsi" w:cstheme="minorBidi"/>
              <w:sz w:val="16"/>
              <w:szCs w:val="16"/>
            </w:rPr>
            <w:t xml:space="preserve">Date Approved: </w:t>
          </w:r>
          <w:r w:rsidR="00D25719">
            <w:rPr>
              <w:rFonts w:asciiTheme="minorHAnsi" w:hAnsiTheme="minorHAnsi" w:cstheme="minorBidi"/>
              <w:sz w:val="16"/>
              <w:szCs w:val="16"/>
            </w:rPr>
            <w:t>12/03/2024</w:t>
          </w:r>
        </w:p>
      </w:tc>
    </w:tr>
    <w:tr w:rsidR="00627C59" w:rsidRPr="00DB62C1" w14:paraId="562428F8" w14:textId="77777777" w:rsidTr="00E74F7F">
      <w:trPr>
        <w:jc w:val="center"/>
      </w:trPr>
      <w:tc>
        <w:tcPr>
          <w:tcW w:w="3792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46876B71" w14:textId="77777777" w:rsidR="00627C59" w:rsidRPr="00DB62C1" w:rsidRDefault="00627C59" w:rsidP="00627C59">
          <w:pPr>
            <w:pStyle w:val="Footer"/>
            <w:rPr>
              <w:rFonts w:asciiTheme="minorHAnsi" w:hAnsiTheme="minorHAnsi" w:cstheme="minorBidi"/>
              <w:sz w:val="16"/>
              <w:szCs w:val="16"/>
            </w:rPr>
          </w:pPr>
          <w:r w:rsidRPr="5D45E80D">
            <w:rPr>
              <w:rFonts w:asciiTheme="minorHAnsi" w:hAnsiTheme="minorHAnsi" w:cstheme="minorBidi"/>
              <w:sz w:val="16"/>
              <w:szCs w:val="16"/>
            </w:rPr>
            <w:t xml:space="preserve">Approved by: </w:t>
          </w:r>
          <w:r>
            <w:rPr>
              <w:rFonts w:asciiTheme="minorHAnsi" w:hAnsiTheme="minorHAnsi" w:cstheme="minorBidi"/>
              <w:sz w:val="16"/>
              <w:szCs w:val="16"/>
            </w:rPr>
            <w:t>Prescribing Interface Subcommittee of ADTC</w:t>
          </w:r>
        </w:p>
      </w:tc>
      <w:tc>
        <w:tcPr>
          <w:tcW w:w="1208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7ED0489E" w14:textId="683C1C02" w:rsidR="00627C59" w:rsidRPr="00DB62C1" w:rsidRDefault="00627C59">
          <w:pPr>
            <w:pStyle w:val="Footer"/>
            <w:rPr>
              <w:rFonts w:asciiTheme="minorHAnsi" w:hAnsiTheme="minorHAnsi" w:cstheme="minorBidi"/>
              <w:sz w:val="16"/>
              <w:szCs w:val="16"/>
            </w:rPr>
          </w:pPr>
          <w:r w:rsidRPr="5D45E80D">
            <w:rPr>
              <w:rFonts w:asciiTheme="minorHAnsi" w:hAnsiTheme="minorHAnsi" w:cstheme="minorBidi"/>
              <w:sz w:val="16"/>
              <w:szCs w:val="16"/>
            </w:rPr>
            <w:t xml:space="preserve">Date for Review: </w:t>
          </w:r>
          <w:r w:rsidR="00D25719">
            <w:rPr>
              <w:rFonts w:asciiTheme="minorHAnsi" w:hAnsiTheme="minorHAnsi" w:cstheme="minorBidi"/>
              <w:sz w:val="16"/>
              <w:szCs w:val="16"/>
            </w:rPr>
            <w:t>12/03/2027</w:t>
          </w:r>
        </w:p>
      </w:tc>
    </w:tr>
    <w:tr w:rsidR="00627C59" w:rsidRPr="00DB62C1" w14:paraId="7CB765AD" w14:textId="77777777" w:rsidTr="00E74F7F">
      <w:trPr>
        <w:jc w:val="center"/>
      </w:trPr>
      <w:tc>
        <w:tcPr>
          <w:tcW w:w="5000" w:type="pct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0333294" w14:textId="77777777" w:rsidR="00627C59" w:rsidRPr="006F7874" w:rsidRDefault="00627C59" w:rsidP="00E74F7F">
          <w:pPr>
            <w:pStyle w:val="Footer"/>
            <w:jc w:val="center"/>
            <w:rPr>
              <w:rFonts w:asciiTheme="minorHAnsi" w:hAnsiTheme="minorHAnsi" w:cstheme="minorBidi"/>
              <w:b/>
              <w:bCs/>
              <w:sz w:val="16"/>
              <w:szCs w:val="16"/>
            </w:rPr>
          </w:pPr>
          <w:r w:rsidRPr="5D45E80D">
            <w:rPr>
              <w:rFonts w:asciiTheme="minorHAnsi" w:hAnsiTheme="minorHAnsi" w:cstheme="minorBidi"/>
              <w:b/>
              <w:bCs/>
              <w:sz w:val="16"/>
              <w:szCs w:val="16"/>
            </w:rPr>
            <w:t xml:space="preserve">Page: </w:t>
          </w:r>
          <w:r w:rsidRPr="5D45E80D">
            <w:rPr>
              <w:rStyle w:val="PageNumber"/>
              <w:rFonts w:asciiTheme="minorHAnsi" w:hAnsiTheme="minorHAnsi" w:cstheme="minorBidi"/>
              <w:b/>
              <w:bCs/>
              <w:noProof/>
              <w:sz w:val="16"/>
              <w:szCs w:val="16"/>
            </w:rPr>
            <w:fldChar w:fldCharType="begin"/>
          </w:r>
          <w:r w:rsidRPr="5D45E80D">
            <w:rPr>
              <w:rStyle w:val="PageNumber"/>
              <w:rFonts w:asciiTheme="minorHAnsi" w:hAnsiTheme="minorHAnsi" w:cstheme="minorBidi"/>
              <w:b/>
              <w:bCs/>
              <w:sz w:val="16"/>
              <w:szCs w:val="16"/>
            </w:rPr>
            <w:instrText xml:space="preserve"> PAGE </w:instrText>
          </w:r>
          <w:r w:rsidRPr="5D45E80D">
            <w:rPr>
              <w:rStyle w:val="PageNumber"/>
              <w:rFonts w:asciiTheme="minorHAnsi" w:hAnsiTheme="minorHAnsi" w:cstheme="minorBidi"/>
              <w:b/>
              <w:bCs/>
              <w:sz w:val="16"/>
              <w:szCs w:val="16"/>
            </w:rPr>
            <w:fldChar w:fldCharType="separate"/>
          </w:r>
          <w:r w:rsidR="009F5035">
            <w:rPr>
              <w:rStyle w:val="PageNumber"/>
              <w:rFonts w:asciiTheme="minorHAnsi" w:hAnsiTheme="minorHAnsi" w:cstheme="minorBidi"/>
              <w:b/>
              <w:bCs/>
              <w:noProof/>
              <w:sz w:val="16"/>
              <w:szCs w:val="16"/>
            </w:rPr>
            <w:t>1</w:t>
          </w:r>
          <w:r w:rsidRPr="5D45E80D">
            <w:rPr>
              <w:rStyle w:val="PageNumber"/>
              <w:rFonts w:asciiTheme="minorHAnsi" w:hAnsiTheme="minorHAnsi" w:cstheme="minorBidi"/>
              <w:b/>
              <w:bCs/>
              <w:noProof/>
              <w:sz w:val="16"/>
              <w:szCs w:val="16"/>
            </w:rPr>
            <w:fldChar w:fldCharType="end"/>
          </w:r>
          <w:r w:rsidRPr="5D45E80D">
            <w:rPr>
              <w:rStyle w:val="PageNumber"/>
              <w:rFonts w:asciiTheme="minorHAnsi" w:hAnsiTheme="minorHAnsi" w:cstheme="minorBidi"/>
              <w:b/>
              <w:bCs/>
              <w:sz w:val="16"/>
              <w:szCs w:val="16"/>
            </w:rPr>
            <w:t xml:space="preserve"> of </w:t>
          </w:r>
          <w:r w:rsidRPr="5D45E80D">
            <w:rPr>
              <w:rStyle w:val="PageNumber"/>
              <w:rFonts w:asciiTheme="minorHAnsi" w:hAnsiTheme="minorHAnsi" w:cstheme="minorBidi"/>
              <w:b/>
              <w:bCs/>
              <w:noProof/>
              <w:sz w:val="16"/>
              <w:szCs w:val="16"/>
            </w:rPr>
            <w:fldChar w:fldCharType="begin"/>
          </w:r>
          <w:r w:rsidRPr="5D45E80D">
            <w:rPr>
              <w:rStyle w:val="PageNumber"/>
              <w:rFonts w:asciiTheme="minorHAnsi" w:hAnsiTheme="minorHAnsi" w:cstheme="minorBidi"/>
              <w:b/>
              <w:bCs/>
              <w:sz w:val="16"/>
              <w:szCs w:val="16"/>
            </w:rPr>
            <w:instrText xml:space="preserve"> NUMPAGES </w:instrText>
          </w:r>
          <w:r w:rsidRPr="5D45E80D">
            <w:rPr>
              <w:rStyle w:val="PageNumber"/>
              <w:rFonts w:asciiTheme="minorHAnsi" w:hAnsiTheme="minorHAnsi" w:cstheme="minorBidi"/>
              <w:b/>
              <w:bCs/>
              <w:sz w:val="16"/>
              <w:szCs w:val="16"/>
            </w:rPr>
            <w:fldChar w:fldCharType="separate"/>
          </w:r>
          <w:r w:rsidR="009F5035">
            <w:rPr>
              <w:rStyle w:val="PageNumber"/>
              <w:rFonts w:asciiTheme="minorHAnsi" w:hAnsiTheme="minorHAnsi" w:cstheme="minorBidi"/>
              <w:b/>
              <w:bCs/>
              <w:noProof/>
              <w:sz w:val="16"/>
              <w:szCs w:val="16"/>
            </w:rPr>
            <w:t>1</w:t>
          </w:r>
          <w:r w:rsidRPr="5D45E80D">
            <w:rPr>
              <w:rStyle w:val="PageNumber"/>
              <w:rFonts w:asciiTheme="minorHAnsi" w:hAnsiTheme="minorHAnsi" w:cstheme="minorBidi"/>
              <w:b/>
              <w:bCs/>
              <w:noProof/>
              <w:sz w:val="16"/>
              <w:szCs w:val="16"/>
            </w:rPr>
            <w:fldChar w:fldCharType="end"/>
          </w:r>
        </w:p>
      </w:tc>
    </w:tr>
  </w:tbl>
  <w:p w14:paraId="049F31CB" w14:textId="77777777" w:rsidR="00FD0DE6" w:rsidRPr="003E6E23" w:rsidRDefault="00FD0DE6" w:rsidP="00627C59">
    <w:pPr>
      <w:pStyle w:val="Footer"/>
      <w:rPr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1CFB2" w14:textId="77777777" w:rsidR="008A779E" w:rsidRDefault="008A77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A21A0" w14:textId="77777777" w:rsidR="00727F9C" w:rsidRDefault="00727F9C">
      <w:r>
        <w:separator/>
      </w:r>
    </w:p>
  </w:footnote>
  <w:footnote w:type="continuationSeparator" w:id="0">
    <w:p w14:paraId="116FBA78" w14:textId="77777777" w:rsidR="00727F9C" w:rsidRDefault="00727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D1847" w14:textId="77777777" w:rsidR="008A779E" w:rsidRDefault="008A77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8" w:space="0" w:color="0000FF"/>
      </w:tblBorders>
      <w:tblLook w:val="01E0" w:firstRow="1" w:lastRow="1" w:firstColumn="1" w:lastColumn="1" w:noHBand="0" w:noVBand="0"/>
    </w:tblPr>
    <w:tblGrid>
      <w:gridCol w:w="8871"/>
      <w:gridCol w:w="1333"/>
    </w:tblGrid>
    <w:tr w:rsidR="00FD0DE6" w14:paraId="41C8F396" w14:textId="77777777" w:rsidTr="291CB6A9">
      <w:tc>
        <w:tcPr>
          <w:tcW w:w="4347" w:type="pct"/>
          <w:tcBorders>
            <w:bottom w:val="nil"/>
          </w:tcBorders>
          <w:vAlign w:val="center"/>
        </w:tcPr>
        <w:p w14:paraId="72A3D3EC" w14:textId="77777777" w:rsidR="00FD0DE6" w:rsidRPr="003C05EC" w:rsidRDefault="00FD0DE6" w:rsidP="00FD0DE6">
          <w:pPr>
            <w:pStyle w:val="Header"/>
            <w:rPr>
              <w:rFonts w:ascii="Trebuchet MS" w:hAnsi="Trebuchet MS"/>
              <w:b/>
              <w:bCs/>
              <w:smallCaps/>
              <w:color w:val="000080"/>
            </w:rPr>
          </w:pPr>
        </w:p>
      </w:tc>
      <w:tc>
        <w:tcPr>
          <w:tcW w:w="653" w:type="pct"/>
          <w:tcBorders>
            <w:bottom w:val="nil"/>
          </w:tcBorders>
          <w:vAlign w:val="center"/>
        </w:tcPr>
        <w:p w14:paraId="0D0B940D" w14:textId="77777777" w:rsidR="00FD0DE6" w:rsidRDefault="00AF734B" w:rsidP="00FD0DE6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4EFFA7CE" wp14:editId="07777777">
                <wp:extent cx="638175" cy="457200"/>
                <wp:effectExtent l="19050" t="0" r="9525" b="0"/>
                <wp:docPr id="4" name="Picture 2" descr="NHSGGC - logo - 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HSGGC - logo - 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D0DE6" w14:paraId="36B62976" w14:textId="77777777" w:rsidTr="291CB6A9">
      <w:tc>
        <w:tcPr>
          <w:tcW w:w="5000" w:type="pct"/>
          <w:gridSpan w:val="2"/>
          <w:tcBorders>
            <w:bottom w:val="nil"/>
          </w:tcBorders>
          <w:vAlign w:val="center"/>
        </w:tcPr>
        <w:p w14:paraId="477CE397" w14:textId="1FAEBFA7" w:rsidR="00FD0DE6" w:rsidRDefault="00FD0DE6" w:rsidP="00FD0DE6">
          <w:pPr>
            <w:spacing w:line="259" w:lineRule="auto"/>
            <w:rPr>
              <w:rFonts w:ascii="Arial" w:eastAsia="Arial" w:hAnsi="Arial" w:cs="Arial"/>
            </w:rPr>
          </w:pPr>
          <w:r w:rsidRPr="00EB7E9F">
            <w:rPr>
              <w:rFonts w:ascii="Arial" w:eastAsia="Arial" w:hAnsi="Arial" w:cs="Arial"/>
            </w:rPr>
            <w:t>NHS Greater Glasgow and Clyde</w:t>
          </w:r>
        </w:p>
        <w:p w14:paraId="0F2F7784" w14:textId="77777777" w:rsidR="00FD0DE6" w:rsidRDefault="00FD0DE6" w:rsidP="00FD0DE6">
          <w:pPr>
            <w:spacing w:line="259" w:lineRule="auto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2.3 Prescribing Interface Subcommittee (PIC) of ADTC: Terms of Reference</w:t>
          </w:r>
        </w:p>
      </w:tc>
    </w:tr>
  </w:tbl>
  <w:p w14:paraId="0E27B00A" w14:textId="77777777" w:rsidR="00FD0DE6" w:rsidRDefault="00FD0D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23321" w14:textId="77777777" w:rsidR="008A779E" w:rsidRDefault="008A77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730"/>
    <w:multiLevelType w:val="hybridMultilevel"/>
    <w:tmpl w:val="A5C02A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72880"/>
    <w:multiLevelType w:val="hybridMultilevel"/>
    <w:tmpl w:val="01CC5252"/>
    <w:lvl w:ilvl="0" w:tplc="EAEE62C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C00712">
      <w:numFmt w:val="decimal"/>
      <w:lvlText w:val=""/>
      <w:lvlJc w:val="left"/>
    </w:lvl>
    <w:lvl w:ilvl="2" w:tplc="C0841656">
      <w:numFmt w:val="decimal"/>
      <w:lvlText w:val=""/>
      <w:lvlJc w:val="left"/>
    </w:lvl>
    <w:lvl w:ilvl="3" w:tplc="30E4F0D8">
      <w:numFmt w:val="decimal"/>
      <w:lvlText w:val=""/>
      <w:lvlJc w:val="left"/>
    </w:lvl>
    <w:lvl w:ilvl="4" w:tplc="1C0A215A">
      <w:numFmt w:val="decimal"/>
      <w:lvlText w:val=""/>
      <w:lvlJc w:val="left"/>
    </w:lvl>
    <w:lvl w:ilvl="5" w:tplc="F7C86D38">
      <w:numFmt w:val="decimal"/>
      <w:lvlText w:val=""/>
      <w:lvlJc w:val="left"/>
    </w:lvl>
    <w:lvl w:ilvl="6" w:tplc="56B6F37C">
      <w:numFmt w:val="decimal"/>
      <w:lvlText w:val=""/>
      <w:lvlJc w:val="left"/>
    </w:lvl>
    <w:lvl w:ilvl="7" w:tplc="A656BC62">
      <w:numFmt w:val="decimal"/>
      <w:lvlText w:val=""/>
      <w:lvlJc w:val="left"/>
    </w:lvl>
    <w:lvl w:ilvl="8" w:tplc="A6605C4A">
      <w:numFmt w:val="decimal"/>
      <w:lvlText w:val=""/>
      <w:lvlJc w:val="left"/>
    </w:lvl>
  </w:abstractNum>
  <w:abstractNum w:abstractNumId="2" w15:restartNumberingAfterBreak="0">
    <w:nsid w:val="0FAD0187"/>
    <w:multiLevelType w:val="hybridMultilevel"/>
    <w:tmpl w:val="1FA67514"/>
    <w:lvl w:ilvl="0" w:tplc="1FBCE03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576838"/>
    <w:multiLevelType w:val="hybridMultilevel"/>
    <w:tmpl w:val="650039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EE2AB5"/>
    <w:multiLevelType w:val="hybridMultilevel"/>
    <w:tmpl w:val="CE96C98A"/>
    <w:lvl w:ilvl="0" w:tplc="5B96F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9401EC"/>
    <w:multiLevelType w:val="hybridMultilevel"/>
    <w:tmpl w:val="C3AC2F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6" w15:restartNumberingAfterBreak="0">
    <w:nsid w:val="1F497BEC"/>
    <w:multiLevelType w:val="hybridMultilevel"/>
    <w:tmpl w:val="D640E3C2"/>
    <w:lvl w:ilvl="0" w:tplc="42E6C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5C64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9C7D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2471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96D9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E2EE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E87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72D9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6E55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A874CD"/>
    <w:multiLevelType w:val="hybridMultilevel"/>
    <w:tmpl w:val="6E983894"/>
    <w:lvl w:ilvl="0" w:tplc="AD203CD0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1" w:tplc="8716E1DC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5B4C01EE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69DC79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79645DE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1C543C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5148C8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176E1E0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1E0279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20CB3709"/>
    <w:multiLevelType w:val="hybridMultilevel"/>
    <w:tmpl w:val="419A2D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312989"/>
    <w:multiLevelType w:val="hybridMultilevel"/>
    <w:tmpl w:val="F0660A2A"/>
    <w:lvl w:ilvl="0" w:tplc="8C807D7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07C0C8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EB00F1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E685B6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BDE96A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0264D9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022F27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E86038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06CCE9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D87835"/>
    <w:multiLevelType w:val="hybridMultilevel"/>
    <w:tmpl w:val="B66E42E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AB77B2"/>
    <w:multiLevelType w:val="hybridMultilevel"/>
    <w:tmpl w:val="6E4013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A30080"/>
    <w:multiLevelType w:val="hybridMultilevel"/>
    <w:tmpl w:val="B5E0E2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2" w:tplc="08090013">
      <w:start w:val="1"/>
      <w:numFmt w:val="upperRoman"/>
      <w:lvlText w:val="%3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B82016"/>
    <w:multiLevelType w:val="hybridMultilevel"/>
    <w:tmpl w:val="6518D39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F16BBC"/>
    <w:multiLevelType w:val="hybridMultilevel"/>
    <w:tmpl w:val="719282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374327"/>
    <w:multiLevelType w:val="hybridMultilevel"/>
    <w:tmpl w:val="EE2C8CE8"/>
    <w:lvl w:ilvl="0" w:tplc="50CE513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EED0232C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D31A04C8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CF86F0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36B2CD2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17FC8A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21D2CF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25B4D5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8D347E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6" w15:restartNumberingAfterBreak="0">
    <w:nsid w:val="4F5C35F2"/>
    <w:multiLevelType w:val="hybridMultilevel"/>
    <w:tmpl w:val="AC9ED6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E93999"/>
    <w:multiLevelType w:val="hybridMultilevel"/>
    <w:tmpl w:val="B8DA21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413189"/>
    <w:multiLevelType w:val="hybridMultilevel"/>
    <w:tmpl w:val="0A92D4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082227"/>
    <w:multiLevelType w:val="multilevel"/>
    <w:tmpl w:val="ADF62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1F497D" w:themeColor="text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5A6B09DE"/>
    <w:multiLevelType w:val="hybridMultilevel"/>
    <w:tmpl w:val="4D32E4C8"/>
    <w:lvl w:ilvl="0" w:tplc="7C1E3102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B4C403A"/>
    <w:multiLevelType w:val="multilevel"/>
    <w:tmpl w:val="5F76BDF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0D2C54"/>
    <w:multiLevelType w:val="hybridMultilevel"/>
    <w:tmpl w:val="AF34E1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236756"/>
    <w:multiLevelType w:val="hybridMultilevel"/>
    <w:tmpl w:val="59209A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E3025D"/>
    <w:multiLevelType w:val="hybridMultilevel"/>
    <w:tmpl w:val="83C0BCF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2" w:tplc="08090013">
      <w:start w:val="1"/>
      <w:numFmt w:val="upperRoman"/>
      <w:lvlText w:val="%3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633738"/>
    <w:multiLevelType w:val="hybridMultilevel"/>
    <w:tmpl w:val="5F76BDF6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F56EAE"/>
    <w:multiLevelType w:val="hybridMultilevel"/>
    <w:tmpl w:val="A7B2F3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641FEB"/>
    <w:multiLevelType w:val="hybridMultilevel"/>
    <w:tmpl w:val="806E5D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A43A0D"/>
    <w:multiLevelType w:val="hybridMultilevel"/>
    <w:tmpl w:val="6E983894"/>
    <w:lvl w:ilvl="0" w:tplc="B8841326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1" w:tplc="044E7774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5A83E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4CD88D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FA13E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DDA81B2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2D10332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EF36725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1098D4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9" w15:restartNumberingAfterBreak="0">
    <w:nsid w:val="7AEC02DE"/>
    <w:multiLevelType w:val="hybridMultilevel"/>
    <w:tmpl w:val="77383C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0C760F"/>
    <w:multiLevelType w:val="hybridMultilevel"/>
    <w:tmpl w:val="F0660A2A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16"/>
  </w:num>
  <w:num w:numId="4">
    <w:abstractNumId w:val="5"/>
  </w:num>
  <w:num w:numId="5">
    <w:abstractNumId w:val="3"/>
  </w:num>
  <w:num w:numId="6">
    <w:abstractNumId w:val="2"/>
  </w:num>
  <w:num w:numId="7">
    <w:abstractNumId w:val="24"/>
  </w:num>
  <w:num w:numId="8">
    <w:abstractNumId w:val="29"/>
  </w:num>
  <w:num w:numId="9">
    <w:abstractNumId w:val="18"/>
  </w:num>
  <w:num w:numId="10">
    <w:abstractNumId w:val="12"/>
  </w:num>
  <w:num w:numId="11">
    <w:abstractNumId w:val="17"/>
  </w:num>
  <w:num w:numId="12">
    <w:abstractNumId w:val="7"/>
  </w:num>
  <w:num w:numId="13">
    <w:abstractNumId w:val="6"/>
  </w:num>
  <w:num w:numId="14">
    <w:abstractNumId w:val="1"/>
  </w:num>
  <w:num w:numId="15">
    <w:abstractNumId w:val="10"/>
  </w:num>
  <w:num w:numId="16">
    <w:abstractNumId w:val="13"/>
  </w:num>
  <w:num w:numId="17">
    <w:abstractNumId w:val="14"/>
  </w:num>
  <w:num w:numId="18">
    <w:abstractNumId w:val="25"/>
  </w:num>
  <w:num w:numId="19">
    <w:abstractNumId w:val="21"/>
  </w:num>
  <w:num w:numId="20">
    <w:abstractNumId w:val="8"/>
  </w:num>
  <w:num w:numId="21">
    <w:abstractNumId w:val="26"/>
  </w:num>
  <w:num w:numId="22">
    <w:abstractNumId w:val="30"/>
  </w:num>
  <w:num w:numId="23">
    <w:abstractNumId w:val="9"/>
  </w:num>
  <w:num w:numId="24">
    <w:abstractNumId w:val="11"/>
  </w:num>
  <w:num w:numId="25">
    <w:abstractNumId w:val="28"/>
  </w:num>
  <w:num w:numId="26">
    <w:abstractNumId w:val="15"/>
  </w:num>
  <w:num w:numId="27">
    <w:abstractNumId w:val="4"/>
  </w:num>
  <w:num w:numId="28">
    <w:abstractNumId w:val="0"/>
  </w:num>
  <w:num w:numId="29">
    <w:abstractNumId w:val="22"/>
  </w:num>
  <w:num w:numId="30">
    <w:abstractNumId w:val="23"/>
  </w:num>
  <w:num w:numId="31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05"/>
    <w:rsid w:val="00011D25"/>
    <w:rsid w:val="00023257"/>
    <w:rsid w:val="00034C24"/>
    <w:rsid w:val="00046311"/>
    <w:rsid w:val="00092BA3"/>
    <w:rsid w:val="000B0F8A"/>
    <w:rsid w:val="000B6111"/>
    <w:rsid w:val="000C1EF8"/>
    <w:rsid w:val="000C6BA9"/>
    <w:rsid w:val="00107F7C"/>
    <w:rsid w:val="00113635"/>
    <w:rsid w:val="00151A63"/>
    <w:rsid w:val="001633E7"/>
    <w:rsid w:val="0017726B"/>
    <w:rsid w:val="001779C2"/>
    <w:rsid w:val="001D7789"/>
    <w:rsid w:val="001F5C5E"/>
    <w:rsid w:val="001F7106"/>
    <w:rsid w:val="0022593F"/>
    <w:rsid w:val="00227C54"/>
    <w:rsid w:val="00257BEC"/>
    <w:rsid w:val="0026443E"/>
    <w:rsid w:val="002651D6"/>
    <w:rsid w:val="00267839"/>
    <w:rsid w:val="00277076"/>
    <w:rsid w:val="002A503F"/>
    <w:rsid w:val="002B5B78"/>
    <w:rsid w:val="002D282E"/>
    <w:rsid w:val="002E6048"/>
    <w:rsid w:val="0034487A"/>
    <w:rsid w:val="00350EC0"/>
    <w:rsid w:val="003541CD"/>
    <w:rsid w:val="00361F69"/>
    <w:rsid w:val="00384D26"/>
    <w:rsid w:val="003961E0"/>
    <w:rsid w:val="003E6E23"/>
    <w:rsid w:val="003F2754"/>
    <w:rsid w:val="00400E1C"/>
    <w:rsid w:val="00401A11"/>
    <w:rsid w:val="0042781E"/>
    <w:rsid w:val="00447AF9"/>
    <w:rsid w:val="004727C8"/>
    <w:rsid w:val="00484A97"/>
    <w:rsid w:val="00493CF3"/>
    <w:rsid w:val="00497372"/>
    <w:rsid w:val="004E6323"/>
    <w:rsid w:val="004F1B0F"/>
    <w:rsid w:val="004F52EA"/>
    <w:rsid w:val="005666A8"/>
    <w:rsid w:val="00574FFA"/>
    <w:rsid w:val="00582AEF"/>
    <w:rsid w:val="0058797A"/>
    <w:rsid w:val="00592822"/>
    <w:rsid w:val="00595CCA"/>
    <w:rsid w:val="005A769C"/>
    <w:rsid w:val="005B099B"/>
    <w:rsid w:val="00627C59"/>
    <w:rsid w:val="0067361A"/>
    <w:rsid w:val="006B72B5"/>
    <w:rsid w:val="007034D0"/>
    <w:rsid w:val="007216EF"/>
    <w:rsid w:val="00727F9C"/>
    <w:rsid w:val="00790272"/>
    <w:rsid w:val="00794A9A"/>
    <w:rsid w:val="00796B8E"/>
    <w:rsid w:val="007B224B"/>
    <w:rsid w:val="007B4EA0"/>
    <w:rsid w:val="007C023E"/>
    <w:rsid w:val="007E1627"/>
    <w:rsid w:val="007E4A50"/>
    <w:rsid w:val="00825350"/>
    <w:rsid w:val="0082682B"/>
    <w:rsid w:val="008571BC"/>
    <w:rsid w:val="008A779E"/>
    <w:rsid w:val="008C6E74"/>
    <w:rsid w:val="0090376F"/>
    <w:rsid w:val="00944D36"/>
    <w:rsid w:val="009545AB"/>
    <w:rsid w:val="009672DB"/>
    <w:rsid w:val="009C20DE"/>
    <w:rsid w:val="009C2625"/>
    <w:rsid w:val="009C5890"/>
    <w:rsid w:val="009E4C15"/>
    <w:rsid w:val="009F5035"/>
    <w:rsid w:val="00A1012D"/>
    <w:rsid w:val="00A2424C"/>
    <w:rsid w:val="00A428C2"/>
    <w:rsid w:val="00A72920"/>
    <w:rsid w:val="00AB48DF"/>
    <w:rsid w:val="00AC5C41"/>
    <w:rsid w:val="00AE1903"/>
    <w:rsid w:val="00AF734B"/>
    <w:rsid w:val="00B126AD"/>
    <w:rsid w:val="00B17D05"/>
    <w:rsid w:val="00B23979"/>
    <w:rsid w:val="00B45084"/>
    <w:rsid w:val="00B5014C"/>
    <w:rsid w:val="00B578EA"/>
    <w:rsid w:val="00B657F3"/>
    <w:rsid w:val="00B65D4F"/>
    <w:rsid w:val="00B815B1"/>
    <w:rsid w:val="00B91360"/>
    <w:rsid w:val="00BF3B1C"/>
    <w:rsid w:val="00C24B7D"/>
    <w:rsid w:val="00C67033"/>
    <w:rsid w:val="00C67A8D"/>
    <w:rsid w:val="00C7598E"/>
    <w:rsid w:val="00CB5DB0"/>
    <w:rsid w:val="00CC48AE"/>
    <w:rsid w:val="00CD0965"/>
    <w:rsid w:val="00CE0CCF"/>
    <w:rsid w:val="00CE0F92"/>
    <w:rsid w:val="00CF0A05"/>
    <w:rsid w:val="00D0022F"/>
    <w:rsid w:val="00D004E5"/>
    <w:rsid w:val="00D2250E"/>
    <w:rsid w:val="00D25719"/>
    <w:rsid w:val="00D41DEA"/>
    <w:rsid w:val="00D701F2"/>
    <w:rsid w:val="00D812D3"/>
    <w:rsid w:val="00DF2516"/>
    <w:rsid w:val="00E036EE"/>
    <w:rsid w:val="00E174C4"/>
    <w:rsid w:val="00E45516"/>
    <w:rsid w:val="00E870B8"/>
    <w:rsid w:val="00EB7E1D"/>
    <w:rsid w:val="00EC25D2"/>
    <w:rsid w:val="00ED4122"/>
    <w:rsid w:val="00EF4BB6"/>
    <w:rsid w:val="00F24BD8"/>
    <w:rsid w:val="00F257A0"/>
    <w:rsid w:val="00FB253C"/>
    <w:rsid w:val="00FC3683"/>
    <w:rsid w:val="00FD0DE6"/>
    <w:rsid w:val="00FD75F4"/>
    <w:rsid w:val="00FE16AE"/>
    <w:rsid w:val="152CE893"/>
    <w:rsid w:val="291CB6A9"/>
    <w:rsid w:val="355FB017"/>
    <w:rsid w:val="47ACA5C4"/>
    <w:rsid w:val="5A9896D3"/>
    <w:rsid w:val="60A0D9C6"/>
    <w:rsid w:val="7DEC9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03D789"/>
  <w15:docId w15:val="{4C1D57AC-C4B2-4460-9B3E-CF2128C0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B61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B6111"/>
    <w:pPr>
      <w:keepNext/>
      <w:outlineLvl w:val="1"/>
    </w:pPr>
    <w:rPr>
      <w:rFonts w:ascii="Arial" w:hAnsi="Arial"/>
      <w:b/>
      <w:bCs/>
      <w:sz w:val="22"/>
      <w:lang w:eastAsia="en-US"/>
    </w:rPr>
  </w:style>
  <w:style w:type="paragraph" w:styleId="Heading3">
    <w:name w:val="heading 3"/>
    <w:basedOn w:val="Normal"/>
    <w:next w:val="Normal"/>
    <w:qFormat/>
    <w:rsid w:val="00D225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2250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0A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F0A0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F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CF0A05"/>
  </w:style>
  <w:style w:type="paragraph" w:styleId="BodyText">
    <w:name w:val="Body Text"/>
    <w:basedOn w:val="Normal"/>
    <w:rsid w:val="00F24BD8"/>
    <w:pPr>
      <w:jc w:val="center"/>
    </w:pPr>
    <w:rPr>
      <w:b/>
      <w:szCs w:val="20"/>
      <w:lang w:eastAsia="en-US"/>
    </w:rPr>
  </w:style>
  <w:style w:type="character" w:styleId="Hyperlink">
    <w:name w:val="Hyperlink"/>
    <w:basedOn w:val="DefaultParagraphFont"/>
    <w:rsid w:val="00F24BD8"/>
    <w:rPr>
      <w:color w:val="0000FF"/>
      <w:u w:val="single"/>
    </w:rPr>
  </w:style>
  <w:style w:type="paragraph" w:styleId="Title">
    <w:name w:val="Title"/>
    <w:basedOn w:val="Normal"/>
    <w:qFormat/>
    <w:rsid w:val="000B6111"/>
    <w:pPr>
      <w:jc w:val="center"/>
    </w:pPr>
    <w:rPr>
      <w:b/>
      <w:bCs/>
      <w:sz w:val="36"/>
      <w:u w:val="single"/>
      <w:lang w:eastAsia="en-US"/>
    </w:rPr>
  </w:style>
  <w:style w:type="paragraph" w:styleId="CommentText">
    <w:name w:val="annotation text"/>
    <w:basedOn w:val="Normal"/>
    <w:semiHidden/>
    <w:rsid w:val="00267839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267839"/>
    <w:rPr>
      <w:sz w:val="16"/>
      <w:szCs w:val="16"/>
    </w:rPr>
  </w:style>
  <w:style w:type="paragraph" w:styleId="BalloonText">
    <w:name w:val="Balloon Text"/>
    <w:basedOn w:val="Normal"/>
    <w:semiHidden/>
    <w:rsid w:val="0026783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267839"/>
    <w:rPr>
      <w:b/>
      <w:bCs/>
    </w:rPr>
  </w:style>
  <w:style w:type="paragraph" w:styleId="TOC1">
    <w:name w:val="toc 1"/>
    <w:basedOn w:val="Normal"/>
    <w:next w:val="Normal"/>
    <w:autoRedefine/>
    <w:semiHidden/>
    <w:rsid w:val="00E174C4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semiHidden/>
    <w:rsid w:val="00E174C4"/>
    <w:rPr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E174C4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semiHidden/>
    <w:rsid w:val="00E174C4"/>
    <w:rPr>
      <w:sz w:val="22"/>
      <w:szCs w:val="22"/>
    </w:rPr>
  </w:style>
  <w:style w:type="paragraph" w:styleId="TOC5">
    <w:name w:val="toc 5"/>
    <w:basedOn w:val="Normal"/>
    <w:next w:val="Normal"/>
    <w:autoRedefine/>
    <w:semiHidden/>
    <w:rsid w:val="00E174C4"/>
    <w:rPr>
      <w:sz w:val="22"/>
      <w:szCs w:val="22"/>
    </w:rPr>
  </w:style>
  <w:style w:type="paragraph" w:styleId="TOC6">
    <w:name w:val="toc 6"/>
    <w:basedOn w:val="Normal"/>
    <w:next w:val="Normal"/>
    <w:autoRedefine/>
    <w:semiHidden/>
    <w:rsid w:val="00E174C4"/>
    <w:rPr>
      <w:sz w:val="22"/>
      <w:szCs w:val="22"/>
    </w:rPr>
  </w:style>
  <w:style w:type="paragraph" w:styleId="TOC7">
    <w:name w:val="toc 7"/>
    <w:basedOn w:val="Normal"/>
    <w:next w:val="Normal"/>
    <w:autoRedefine/>
    <w:semiHidden/>
    <w:rsid w:val="00E174C4"/>
    <w:rPr>
      <w:sz w:val="22"/>
      <w:szCs w:val="22"/>
    </w:rPr>
  </w:style>
  <w:style w:type="paragraph" w:styleId="TOC8">
    <w:name w:val="toc 8"/>
    <w:basedOn w:val="Normal"/>
    <w:next w:val="Normal"/>
    <w:autoRedefine/>
    <w:semiHidden/>
    <w:rsid w:val="00E174C4"/>
    <w:rPr>
      <w:sz w:val="22"/>
      <w:szCs w:val="22"/>
    </w:rPr>
  </w:style>
  <w:style w:type="paragraph" w:styleId="TOC9">
    <w:name w:val="toc 9"/>
    <w:basedOn w:val="Normal"/>
    <w:next w:val="Normal"/>
    <w:autoRedefine/>
    <w:semiHidden/>
    <w:rsid w:val="00E174C4"/>
    <w:rPr>
      <w:sz w:val="22"/>
      <w:szCs w:val="22"/>
    </w:rPr>
  </w:style>
  <w:style w:type="paragraph" w:customStyle="1" w:styleId="nhsbase">
    <w:name w:val="nhs_base"/>
    <w:basedOn w:val="Normal"/>
    <w:rsid w:val="00D2250E"/>
    <w:rPr>
      <w:kern w:val="16"/>
      <w:sz w:val="22"/>
      <w:szCs w:val="20"/>
      <w:lang w:eastAsia="en-US"/>
    </w:rPr>
  </w:style>
  <w:style w:type="paragraph" w:customStyle="1" w:styleId="GRI">
    <w:name w:val="GRI"/>
    <w:rsid w:val="00D2250E"/>
    <w:pPr>
      <w:jc w:val="both"/>
    </w:pPr>
    <w:rPr>
      <w:rFonts w:ascii="Arial" w:hAnsi="Arial"/>
      <w:sz w:val="22"/>
      <w:lang w:eastAsia="en-US"/>
    </w:rPr>
  </w:style>
  <w:style w:type="paragraph" w:styleId="BlockText">
    <w:name w:val="Block Text"/>
    <w:basedOn w:val="Normal"/>
    <w:rsid w:val="00D2250E"/>
    <w:pPr>
      <w:widowControl w:val="0"/>
      <w:tabs>
        <w:tab w:val="left" w:pos="-720"/>
      </w:tabs>
      <w:suppressAutoHyphens/>
      <w:ind w:left="709" w:right="720" w:hanging="349"/>
    </w:pPr>
    <w:rPr>
      <w:rFonts w:ascii="Arial" w:hAnsi="Arial"/>
      <w:snapToGrid w:val="0"/>
      <w:spacing w:val="-2"/>
      <w:szCs w:val="20"/>
      <w:lang w:eastAsia="en-US"/>
    </w:rPr>
  </w:style>
  <w:style w:type="paragraph" w:customStyle="1" w:styleId="Default">
    <w:name w:val="Default"/>
    <w:rsid w:val="002A503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7C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e47764dd48144b95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CC8DD-39C6-4591-9CA6-668CE01F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</vt:lpstr>
    </vt:vector>
  </TitlesOfParts>
  <Company>NHSGG&amp;C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creator>Roy A. Foot</dc:creator>
  <cp:lastModifiedBy>Greschner, Kathrin</cp:lastModifiedBy>
  <cp:revision>2</cp:revision>
  <cp:lastPrinted>2017-06-20T14:33:00Z</cp:lastPrinted>
  <dcterms:created xsi:type="dcterms:W3CDTF">2024-03-25T14:59:00Z</dcterms:created>
  <dcterms:modified xsi:type="dcterms:W3CDTF">2024-03-25T14:59:00Z</dcterms:modified>
</cp:coreProperties>
</file>